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48" w:rsidRPr="00877C7E" w:rsidRDefault="003C0148" w:rsidP="003C0148">
      <w:pPr>
        <w:shd w:val="clear" w:color="auto" w:fill="FFFFFF"/>
        <w:rPr>
          <w:b/>
        </w:rPr>
      </w:pPr>
      <w:proofErr w:type="gramStart"/>
      <w:r>
        <w:rPr>
          <w:b/>
        </w:rPr>
        <w:t>Ek-2</w:t>
      </w:r>
      <w:proofErr w:type="gramEnd"/>
      <w:r>
        <w:rPr>
          <w:b/>
        </w:rPr>
        <w:t xml:space="preserve">: </w:t>
      </w:r>
      <w:r w:rsidRPr="00877C7E">
        <w:rPr>
          <w:b/>
        </w:rPr>
        <w:t>E-TİCARET SİTELERİNE ÜYELİK BAŞVURU SÜRECİ</w:t>
      </w:r>
    </w:p>
    <w:p w:rsidR="003C0148" w:rsidRDefault="003C0148" w:rsidP="003C0148">
      <w:pPr>
        <w:shd w:val="clear" w:color="auto" w:fill="FFFFFF"/>
        <w:spacing w:after="100" w:afterAutospacing="1"/>
        <w:jc w:val="center"/>
        <w:rPr>
          <w:b/>
          <w:bCs/>
          <w:u w:val="single"/>
        </w:rPr>
      </w:pPr>
    </w:p>
    <w:p w:rsidR="003C0148" w:rsidRPr="00BD05CD" w:rsidRDefault="003C0148" w:rsidP="003C0148">
      <w:pPr>
        <w:shd w:val="clear" w:color="auto" w:fill="FFFFFF"/>
        <w:spacing w:after="100" w:afterAutospacing="1"/>
        <w:jc w:val="center"/>
        <w:rPr>
          <w:sz w:val="22"/>
          <w:szCs w:val="22"/>
        </w:rPr>
      </w:pPr>
      <w:r w:rsidRPr="00BD05CD">
        <w:rPr>
          <w:b/>
          <w:bCs/>
          <w:sz w:val="22"/>
          <w:szCs w:val="22"/>
          <w:u w:val="single"/>
        </w:rPr>
        <w:t>TİM tarafından anlaşma sağlanan e-ticaret siteleri kapsamında Ekonomi Bakanlığı e-ticaret sitesi üyelik desteklerinden faydalanabilmek için;</w:t>
      </w:r>
    </w:p>
    <w:p w:rsidR="003C0148" w:rsidRPr="00BD05CD" w:rsidRDefault="003C0148" w:rsidP="003C0148">
      <w:pPr>
        <w:pStyle w:val="ListeParagraf"/>
        <w:numPr>
          <w:ilvl w:val="0"/>
          <w:numId w:val="1"/>
        </w:numPr>
        <w:shd w:val="clear" w:color="auto" w:fill="FFFFFF"/>
        <w:spacing w:after="100" w:afterAutospacing="1" w:line="240" w:lineRule="auto"/>
        <w:ind w:left="284" w:hanging="284"/>
        <w:rPr>
          <w:rFonts w:ascii="Times New Roman" w:eastAsia="Times New Roman" w:hAnsi="Times New Roman"/>
          <w:lang w:eastAsia="tr-TR"/>
        </w:rPr>
      </w:pPr>
      <w:r w:rsidRPr="00BD05CD">
        <w:rPr>
          <w:rFonts w:ascii="Times New Roman" w:eastAsia="Times New Roman" w:hAnsi="Times New Roman"/>
          <w:lang w:eastAsia="tr-TR"/>
        </w:rPr>
        <w:t xml:space="preserve">İhracatçı Birliği üyesi şirket, </w:t>
      </w:r>
      <w:r w:rsidRPr="00BD05CD">
        <w:rPr>
          <w:rFonts w:ascii="Times New Roman" w:eastAsia="Times New Roman" w:hAnsi="Times New Roman"/>
          <w:b/>
          <w:bCs/>
          <w:lang w:eastAsia="tr-TR"/>
        </w:rPr>
        <w:t>Türkiye İhracatçılar Meclisi tarafından belirlenmiş olan üç e-ticaret sitesi arasından kendine en uygun olanını seçer.</w:t>
      </w:r>
    </w:p>
    <w:p w:rsidR="003C0148" w:rsidRPr="00BD05CD" w:rsidRDefault="003C0148" w:rsidP="003C0148">
      <w:pPr>
        <w:numPr>
          <w:ilvl w:val="0"/>
          <w:numId w:val="2"/>
        </w:numPr>
        <w:shd w:val="clear" w:color="auto" w:fill="FFFFFF"/>
        <w:spacing w:before="100" w:beforeAutospacing="1" w:after="100" w:afterAutospacing="1"/>
        <w:rPr>
          <w:sz w:val="22"/>
          <w:szCs w:val="22"/>
        </w:rPr>
      </w:pPr>
      <w:r w:rsidRPr="00BD05CD">
        <w:rPr>
          <w:b/>
          <w:bCs/>
          <w:sz w:val="22"/>
          <w:szCs w:val="22"/>
        </w:rPr>
        <w:t>Alibaba.com</w:t>
      </w:r>
    </w:p>
    <w:p w:rsidR="003C0148" w:rsidRPr="00BD05CD" w:rsidRDefault="003C0148" w:rsidP="003C0148">
      <w:pPr>
        <w:numPr>
          <w:ilvl w:val="0"/>
          <w:numId w:val="2"/>
        </w:numPr>
        <w:shd w:val="clear" w:color="auto" w:fill="FFFFFF"/>
        <w:spacing w:before="100" w:beforeAutospacing="1" w:after="100" w:afterAutospacing="1"/>
        <w:rPr>
          <w:sz w:val="22"/>
          <w:szCs w:val="22"/>
        </w:rPr>
      </w:pPr>
      <w:r w:rsidRPr="00BD05CD">
        <w:rPr>
          <w:b/>
          <w:bCs/>
          <w:sz w:val="22"/>
          <w:szCs w:val="22"/>
        </w:rPr>
        <w:t>Kompass.com</w:t>
      </w:r>
    </w:p>
    <w:p w:rsidR="003C0148" w:rsidRPr="00BD05CD" w:rsidRDefault="003C0148" w:rsidP="003C0148">
      <w:pPr>
        <w:numPr>
          <w:ilvl w:val="0"/>
          <w:numId w:val="2"/>
        </w:numPr>
        <w:shd w:val="clear" w:color="auto" w:fill="FFFFFF"/>
        <w:spacing w:before="100" w:beforeAutospacing="1" w:after="100" w:afterAutospacing="1"/>
        <w:rPr>
          <w:sz w:val="22"/>
          <w:szCs w:val="22"/>
        </w:rPr>
      </w:pPr>
      <w:r w:rsidRPr="00BD05CD">
        <w:rPr>
          <w:b/>
          <w:bCs/>
          <w:sz w:val="22"/>
          <w:szCs w:val="22"/>
        </w:rPr>
        <w:t>Turkishexporter.net</w:t>
      </w:r>
    </w:p>
    <w:p w:rsidR="003C0148" w:rsidRPr="00BD05CD" w:rsidRDefault="003C0148" w:rsidP="003C0148">
      <w:pPr>
        <w:shd w:val="clear" w:color="auto" w:fill="FFFFFF"/>
        <w:spacing w:after="100" w:afterAutospacing="1"/>
        <w:ind w:left="360"/>
        <w:rPr>
          <w:sz w:val="22"/>
          <w:szCs w:val="22"/>
        </w:rPr>
      </w:pPr>
      <w:r w:rsidRPr="00BD05CD">
        <w:rPr>
          <w:sz w:val="22"/>
          <w:szCs w:val="22"/>
        </w:rPr>
        <w:t>Teşvik kapsamında şirketin sadece 1 (bir) e-ticaret sitesine üye olabilmesi esastır. Ancak şirketin, mahiyeti ve çalışma prensibi farklı olan diğer bir e-ticaret sitesine üye olması mümkündür. Bu kapsamda, Alibaba.com ve Turkishexporter.net aynı çalışma prensibine sahip e-ticaret siteleri olarak kabul edilirken, Kompass.com rehber site olması nedeniyle bu iki siteden farklı bir özellik taşımaktadır. Pratikte şirketler en fazla iki e-ticaret sitesine üye olabilmektedir.</w:t>
      </w:r>
    </w:p>
    <w:p w:rsidR="003C0148" w:rsidRPr="00BD05CD" w:rsidRDefault="003C0148" w:rsidP="003C0148">
      <w:pPr>
        <w:shd w:val="clear" w:color="auto" w:fill="FFFFFF"/>
        <w:spacing w:after="100" w:afterAutospacing="1"/>
        <w:ind w:left="284"/>
        <w:rPr>
          <w:sz w:val="22"/>
          <w:szCs w:val="22"/>
        </w:rPr>
      </w:pPr>
      <w:r w:rsidRPr="00BD05CD">
        <w:rPr>
          <w:sz w:val="22"/>
          <w:szCs w:val="22"/>
        </w:rPr>
        <w:t xml:space="preserve">Sonuç olarak şirketlerin, Alibaba.com ve </w:t>
      </w:r>
      <w:proofErr w:type="spellStart"/>
      <w:r w:rsidRPr="00BD05CD">
        <w:rPr>
          <w:sz w:val="22"/>
          <w:szCs w:val="22"/>
        </w:rPr>
        <w:t>Kompass.com’a</w:t>
      </w:r>
      <w:proofErr w:type="spellEnd"/>
      <w:r w:rsidRPr="00BD05CD">
        <w:rPr>
          <w:sz w:val="22"/>
          <w:szCs w:val="22"/>
        </w:rPr>
        <w:t xml:space="preserve"> veya Turkishexporter.net ve </w:t>
      </w:r>
      <w:proofErr w:type="spellStart"/>
      <w:r w:rsidRPr="00BD05CD">
        <w:rPr>
          <w:sz w:val="22"/>
          <w:szCs w:val="22"/>
        </w:rPr>
        <w:t>Kompass.com’a</w:t>
      </w:r>
      <w:proofErr w:type="spellEnd"/>
      <w:r w:rsidRPr="00BD05CD">
        <w:rPr>
          <w:sz w:val="22"/>
          <w:szCs w:val="22"/>
        </w:rPr>
        <w:t xml:space="preserve"> birlikte üye olması mümkündür ancak Alibaba.com ve </w:t>
      </w:r>
      <w:proofErr w:type="spellStart"/>
      <w:r w:rsidRPr="00BD05CD">
        <w:rPr>
          <w:sz w:val="22"/>
          <w:szCs w:val="22"/>
        </w:rPr>
        <w:t>Turkishexporter.net’e</w:t>
      </w:r>
      <w:proofErr w:type="spellEnd"/>
      <w:r w:rsidRPr="00BD05CD">
        <w:rPr>
          <w:sz w:val="22"/>
          <w:szCs w:val="22"/>
        </w:rPr>
        <w:t xml:space="preserve"> birlikte üyelik söz konusu değildir. </w:t>
      </w:r>
    </w:p>
    <w:p w:rsidR="003C0148" w:rsidRPr="00BD05CD" w:rsidRDefault="003C0148" w:rsidP="003C0148">
      <w:pPr>
        <w:pStyle w:val="ListeParagraf"/>
        <w:numPr>
          <w:ilvl w:val="0"/>
          <w:numId w:val="3"/>
        </w:numPr>
        <w:shd w:val="clear" w:color="auto" w:fill="FFFFFF"/>
        <w:spacing w:after="100" w:afterAutospacing="1" w:line="240" w:lineRule="auto"/>
        <w:rPr>
          <w:rFonts w:ascii="Times New Roman" w:eastAsia="Times New Roman" w:hAnsi="Times New Roman"/>
          <w:lang w:eastAsia="tr-TR"/>
        </w:rPr>
      </w:pPr>
      <w:r w:rsidRPr="00BD05CD">
        <w:rPr>
          <w:rFonts w:ascii="Times New Roman" w:eastAsia="Times New Roman" w:hAnsi="Times New Roman"/>
          <w:lang w:eastAsia="tr-TR"/>
        </w:rPr>
        <w:t>Şirketin, üye olmak ve destekten faydalanmak istediği e-ticaret sitesine hâlihazırda üye olmaması gerekmektedir. Toplu üyelik projesinde, proje grubunda yer alan 250 ve üzerindeki firmalar, üyeliklerini Bakanlıktan gelen proje onayının ardından eş zamanlı olarak kullanabileceklerdir. Üyelikler onaydan sonra aktifleşecektir.</w:t>
      </w:r>
    </w:p>
    <w:p w:rsidR="003C0148" w:rsidRPr="00BD05CD" w:rsidRDefault="003C0148" w:rsidP="003C0148">
      <w:pPr>
        <w:pStyle w:val="ListeParagraf"/>
        <w:shd w:val="clear" w:color="auto" w:fill="FFFFFF"/>
        <w:spacing w:after="100" w:afterAutospacing="1" w:line="240" w:lineRule="auto"/>
        <w:ind w:left="284"/>
        <w:rPr>
          <w:rFonts w:ascii="Times New Roman" w:eastAsia="Times New Roman" w:hAnsi="Times New Roman"/>
          <w:lang w:eastAsia="tr-TR"/>
        </w:rPr>
      </w:pPr>
    </w:p>
    <w:p w:rsidR="003C0148" w:rsidRPr="00BD05CD" w:rsidRDefault="003C0148" w:rsidP="003C0148">
      <w:pPr>
        <w:pStyle w:val="ListeParagraf"/>
        <w:numPr>
          <w:ilvl w:val="0"/>
          <w:numId w:val="3"/>
        </w:numPr>
        <w:shd w:val="clear" w:color="auto" w:fill="FFFFFF"/>
        <w:spacing w:after="100" w:afterAutospacing="1" w:line="240" w:lineRule="auto"/>
        <w:rPr>
          <w:rFonts w:ascii="Times New Roman" w:eastAsia="Times New Roman" w:hAnsi="Times New Roman"/>
          <w:lang w:eastAsia="tr-TR"/>
        </w:rPr>
      </w:pPr>
      <w:r w:rsidRPr="00BD05CD">
        <w:rPr>
          <w:rFonts w:ascii="Times New Roman" w:eastAsia="Times New Roman" w:hAnsi="Times New Roman"/>
          <w:lang w:eastAsia="tr-TR"/>
        </w:rPr>
        <w:t xml:space="preserve">Şirketin </w:t>
      </w:r>
      <w:r w:rsidRPr="00BD05CD">
        <w:rPr>
          <w:rFonts w:ascii="Times New Roman" w:eastAsia="Times New Roman" w:hAnsi="Times New Roman"/>
          <w:b/>
          <w:lang w:eastAsia="tr-TR"/>
        </w:rPr>
        <w:t>İhracatçı Birliği üyesi</w:t>
      </w:r>
      <w:r w:rsidRPr="00BD05CD">
        <w:rPr>
          <w:rFonts w:ascii="Times New Roman" w:eastAsia="Times New Roman" w:hAnsi="Times New Roman"/>
          <w:lang w:eastAsia="tr-TR"/>
        </w:rPr>
        <w:t xml:space="preserve"> olması gerekmektedir.</w:t>
      </w:r>
    </w:p>
    <w:p w:rsidR="003C0148" w:rsidRPr="00BD05CD" w:rsidRDefault="003C0148" w:rsidP="003C0148">
      <w:pPr>
        <w:pStyle w:val="ListeParagraf"/>
        <w:rPr>
          <w:rFonts w:ascii="Times New Roman" w:eastAsia="Times New Roman" w:hAnsi="Times New Roman"/>
          <w:lang w:eastAsia="tr-TR"/>
        </w:rPr>
      </w:pPr>
    </w:p>
    <w:p w:rsidR="003C0148" w:rsidRPr="00BD05CD" w:rsidRDefault="003C0148" w:rsidP="003C0148">
      <w:pPr>
        <w:pStyle w:val="ListeParagraf"/>
        <w:numPr>
          <w:ilvl w:val="0"/>
          <w:numId w:val="3"/>
        </w:numPr>
        <w:shd w:val="clear" w:color="auto" w:fill="FFFFFF"/>
        <w:spacing w:after="100" w:afterAutospacing="1" w:line="240" w:lineRule="auto"/>
        <w:rPr>
          <w:rFonts w:ascii="Times New Roman" w:eastAsia="Times New Roman" w:hAnsi="Times New Roman"/>
          <w:lang w:eastAsia="tr-TR"/>
        </w:rPr>
      </w:pPr>
      <w:r w:rsidRPr="00BD05CD">
        <w:rPr>
          <w:rFonts w:ascii="Times New Roman" w:eastAsia="Times New Roman" w:hAnsi="Times New Roman"/>
          <w:lang w:eastAsia="tr-TR"/>
        </w:rPr>
        <w:t xml:space="preserve">Şirketin TTK. Madde 124’te belirtilen </w:t>
      </w:r>
      <w:r w:rsidRPr="00BD05CD">
        <w:rPr>
          <w:rFonts w:ascii="Times New Roman" w:eastAsia="Times New Roman" w:hAnsi="Times New Roman"/>
          <w:b/>
          <w:lang w:eastAsia="tr-TR"/>
        </w:rPr>
        <w:t>ticaret şirketleri</w:t>
      </w:r>
      <w:r w:rsidRPr="00BD05CD">
        <w:rPr>
          <w:rFonts w:ascii="Times New Roman" w:eastAsia="Times New Roman" w:hAnsi="Times New Roman"/>
          <w:lang w:eastAsia="tr-TR"/>
        </w:rPr>
        <w:t xml:space="preserve"> arasında yer alması, yani </w:t>
      </w:r>
      <w:r w:rsidRPr="00BD05CD">
        <w:rPr>
          <w:rFonts w:ascii="Times New Roman" w:eastAsia="Times New Roman" w:hAnsi="Times New Roman"/>
          <w:b/>
          <w:lang w:eastAsia="tr-TR"/>
        </w:rPr>
        <w:t>adi şirket olmaması</w:t>
      </w:r>
      <w:r w:rsidRPr="00BD05CD">
        <w:rPr>
          <w:rFonts w:ascii="Times New Roman" w:eastAsia="Times New Roman" w:hAnsi="Times New Roman"/>
          <w:lang w:eastAsia="tr-TR"/>
        </w:rPr>
        <w:t xml:space="preserve"> gerekmektedir. (Ticaret şirketleri; </w:t>
      </w:r>
      <w:proofErr w:type="spellStart"/>
      <w:r w:rsidRPr="00BD05CD">
        <w:rPr>
          <w:rFonts w:ascii="Times New Roman" w:eastAsia="Times New Roman" w:hAnsi="Times New Roman"/>
          <w:lang w:eastAsia="tr-TR"/>
        </w:rPr>
        <w:t>kollektif</w:t>
      </w:r>
      <w:proofErr w:type="spellEnd"/>
      <w:r w:rsidRPr="00BD05CD">
        <w:rPr>
          <w:rFonts w:ascii="Times New Roman" w:eastAsia="Times New Roman" w:hAnsi="Times New Roman"/>
          <w:lang w:eastAsia="tr-TR"/>
        </w:rPr>
        <w:t xml:space="preserve">, komandit, anonim, </w:t>
      </w:r>
      <w:proofErr w:type="spellStart"/>
      <w:r w:rsidRPr="00BD05CD">
        <w:rPr>
          <w:rFonts w:ascii="Times New Roman" w:eastAsia="Times New Roman" w:hAnsi="Times New Roman"/>
          <w:lang w:eastAsia="tr-TR"/>
        </w:rPr>
        <w:t>limited</w:t>
      </w:r>
      <w:proofErr w:type="spellEnd"/>
      <w:r w:rsidRPr="00BD05CD">
        <w:rPr>
          <w:rFonts w:ascii="Times New Roman" w:eastAsia="Times New Roman" w:hAnsi="Times New Roman"/>
          <w:lang w:eastAsia="tr-TR"/>
        </w:rPr>
        <w:t xml:space="preserve"> ve kooperatif şirketlerden ibarettir.)</w:t>
      </w:r>
    </w:p>
    <w:p w:rsidR="003C0148" w:rsidRPr="00BD05CD" w:rsidRDefault="003C0148" w:rsidP="003C0148">
      <w:pPr>
        <w:pStyle w:val="ListeParagraf"/>
        <w:rPr>
          <w:rFonts w:ascii="Times New Roman" w:eastAsia="Times New Roman" w:hAnsi="Times New Roman"/>
          <w:lang w:eastAsia="tr-TR"/>
        </w:rPr>
      </w:pPr>
    </w:p>
    <w:p w:rsidR="003C0148" w:rsidRPr="00BD05CD" w:rsidRDefault="003C0148" w:rsidP="003C0148">
      <w:pPr>
        <w:pStyle w:val="ListeParagraf"/>
        <w:numPr>
          <w:ilvl w:val="0"/>
          <w:numId w:val="3"/>
        </w:numPr>
        <w:shd w:val="clear" w:color="auto" w:fill="FFFFFF"/>
        <w:spacing w:after="100" w:afterAutospacing="1" w:line="240" w:lineRule="auto"/>
        <w:rPr>
          <w:rFonts w:ascii="Times New Roman" w:eastAsia="Times New Roman" w:hAnsi="Times New Roman"/>
          <w:lang w:eastAsia="tr-TR"/>
        </w:rPr>
      </w:pPr>
      <w:r w:rsidRPr="00BD05CD">
        <w:rPr>
          <w:rFonts w:ascii="Times New Roman" w:eastAsia="Times New Roman" w:hAnsi="Times New Roman"/>
          <w:lang w:eastAsia="tr-TR"/>
        </w:rPr>
        <w:t xml:space="preserve">Şirket, </w:t>
      </w:r>
      <w:proofErr w:type="spellStart"/>
      <w:r w:rsidRPr="00BD05CD">
        <w:rPr>
          <w:rFonts w:ascii="Times New Roman" w:eastAsia="Times New Roman" w:hAnsi="Times New Roman"/>
          <w:b/>
          <w:lang w:eastAsia="tr-TR"/>
        </w:rPr>
        <w:t>Turquality</w:t>
      </w:r>
      <w:proofErr w:type="spellEnd"/>
      <w:r w:rsidRPr="00BD05CD">
        <w:rPr>
          <w:rFonts w:ascii="Times New Roman" w:eastAsia="Times New Roman" w:hAnsi="Times New Roman"/>
          <w:b/>
          <w:lang w:eastAsia="tr-TR"/>
        </w:rPr>
        <w:t xml:space="preserve"> ve Marka Desteğinden faydalanmamış</w:t>
      </w:r>
      <w:r w:rsidRPr="00BD05CD">
        <w:rPr>
          <w:rFonts w:ascii="Times New Roman" w:eastAsia="Times New Roman" w:hAnsi="Times New Roman"/>
          <w:lang w:eastAsia="tr-TR"/>
        </w:rPr>
        <w:t xml:space="preserve"> olmalıdır.</w:t>
      </w:r>
    </w:p>
    <w:p w:rsidR="003C0148" w:rsidRPr="00BD05CD" w:rsidRDefault="003C0148" w:rsidP="003C0148">
      <w:pPr>
        <w:pStyle w:val="ListeParagraf"/>
        <w:rPr>
          <w:rFonts w:ascii="Times New Roman" w:eastAsia="Times New Roman" w:hAnsi="Times New Roman"/>
          <w:lang w:eastAsia="tr-TR"/>
        </w:rPr>
      </w:pPr>
    </w:p>
    <w:p w:rsidR="003C0148" w:rsidRPr="00BD05CD" w:rsidRDefault="003C0148" w:rsidP="003C0148">
      <w:pPr>
        <w:pStyle w:val="ListeParagraf"/>
        <w:numPr>
          <w:ilvl w:val="0"/>
          <w:numId w:val="3"/>
        </w:numPr>
        <w:shd w:val="clear" w:color="auto" w:fill="FFFFFF"/>
        <w:spacing w:after="100" w:afterAutospacing="1" w:line="240" w:lineRule="auto"/>
        <w:rPr>
          <w:rFonts w:ascii="Times New Roman" w:eastAsia="Times New Roman" w:hAnsi="Times New Roman"/>
          <w:lang w:eastAsia="tr-TR"/>
        </w:rPr>
      </w:pPr>
      <w:r w:rsidRPr="00BD05CD">
        <w:rPr>
          <w:rFonts w:ascii="Times New Roman" w:eastAsia="Times New Roman" w:hAnsi="Times New Roman"/>
          <w:lang w:eastAsia="tr-TR"/>
        </w:rPr>
        <w:t xml:space="preserve">Şirket, </w:t>
      </w:r>
      <w:r w:rsidRPr="00BD05CD">
        <w:rPr>
          <w:rFonts w:ascii="Times New Roman" w:eastAsia="Times New Roman" w:hAnsi="Times New Roman"/>
          <w:b/>
          <w:lang w:eastAsia="tr-TR"/>
        </w:rPr>
        <w:t>hizmet sektöründe faaliyet göstermemelidir</w:t>
      </w:r>
      <w:r w:rsidRPr="00BD05CD">
        <w:rPr>
          <w:rFonts w:ascii="Times New Roman" w:eastAsia="Times New Roman" w:hAnsi="Times New Roman"/>
          <w:lang w:eastAsia="tr-TR"/>
        </w:rPr>
        <w:t>.</w:t>
      </w:r>
    </w:p>
    <w:p w:rsidR="003C0148" w:rsidRPr="00BD05CD" w:rsidRDefault="003C0148" w:rsidP="003C0148">
      <w:pPr>
        <w:pStyle w:val="ListeParagraf"/>
        <w:rPr>
          <w:rFonts w:ascii="Times New Roman" w:eastAsia="Times New Roman" w:hAnsi="Times New Roman"/>
          <w:lang w:eastAsia="tr-TR"/>
        </w:rPr>
      </w:pPr>
    </w:p>
    <w:p w:rsidR="003C0148" w:rsidRPr="00BD05CD" w:rsidRDefault="003C0148" w:rsidP="003C0148">
      <w:pPr>
        <w:pStyle w:val="ListeParagraf"/>
        <w:numPr>
          <w:ilvl w:val="0"/>
          <w:numId w:val="1"/>
        </w:numPr>
        <w:shd w:val="clear" w:color="auto" w:fill="FFFFFF"/>
        <w:autoSpaceDE w:val="0"/>
        <w:autoSpaceDN w:val="0"/>
        <w:adjustRightInd w:val="0"/>
        <w:spacing w:after="100" w:afterAutospacing="1" w:line="240" w:lineRule="auto"/>
        <w:ind w:left="284" w:hanging="284"/>
        <w:rPr>
          <w:rFonts w:ascii="Times New Roman" w:eastAsia="Times New Roman" w:hAnsi="Times New Roman"/>
          <w:lang w:eastAsia="tr-TR"/>
        </w:rPr>
      </w:pPr>
      <w:r w:rsidRPr="00BD05CD">
        <w:rPr>
          <w:rFonts w:ascii="Times New Roman" w:hAnsi="Times New Roman"/>
          <w:b/>
          <w:bCs/>
          <w:i/>
          <w:iCs/>
        </w:rPr>
        <w:t xml:space="preserve">Şirket, seçmiş olduğu e- ticaret sitesi ile iletişime geçerek, paket içerikleri hakkında detaylı bilgiyi edinir, üyelik formunu doldurur ve üyelik ücretinin %20’sine tekabül eden katılım ücretini, TİM’in ilgili e-ticaret sitesi için belirlediği hesap numarasına yatırır. </w:t>
      </w:r>
      <w:r w:rsidRPr="00BD05CD">
        <w:rPr>
          <w:rFonts w:ascii="Times New Roman" w:hAnsi="Times New Roman"/>
          <w:i/>
          <w:iCs/>
        </w:rPr>
        <w:t>Şirket yapacağı tüm bu işlemler için doğrudan sitelerle iletişime geçecektir, üyelik başvuruları Türkiye İhracatçılar Meclisine yapılmamaktadır.</w:t>
      </w:r>
    </w:p>
    <w:p w:rsidR="003C0148" w:rsidRPr="00BD05CD" w:rsidRDefault="003C0148" w:rsidP="003C0148">
      <w:pPr>
        <w:pStyle w:val="ListeParagraf"/>
        <w:rPr>
          <w:rFonts w:ascii="Times New Roman" w:eastAsia="Times New Roman" w:hAnsi="Times New Roman"/>
          <w:lang w:eastAsia="tr-TR"/>
        </w:rPr>
      </w:pPr>
    </w:p>
    <w:p w:rsidR="003C0148" w:rsidRPr="00BD05CD" w:rsidRDefault="003C0148" w:rsidP="003C0148">
      <w:pPr>
        <w:pStyle w:val="ListeParagraf"/>
        <w:numPr>
          <w:ilvl w:val="0"/>
          <w:numId w:val="1"/>
        </w:numPr>
        <w:shd w:val="clear" w:color="auto" w:fill="FFFFFF"/>
        <w:autoSpaceDE w:val="0"/>
        <w:autoSpaceDN w:val="0"/>
        <w:adjustRightInd w:val="0"/>
        <w:spacing w:after="100" w:afterAutospacing="1" w:line="240" w:lineRule="auto"/>
        <w:ind w:left="284" w:hanging="284"/>
        <w:rPr>
          <w:rFonts w:ascii="Times New Roman" w:eastAsia="Times New Roman" w:hAnsi="Times New Roman"/>
          <w:b/>
          <w:lang w:eastAsia="tr-TR"/>
        </w:rPr>
      </w:pPr>
      <w:r w:rsidRPr="00BD05CD">
        <w:rPr>
          <w:rFonts w:ascii="Times New Roman" w:eastAsia="Times New Roman" w:hAnsi="Times New Roman"/>
          <w:b/>
          <w:lang w:eastAsia="tr-TR"/>
        </w:rPr>
        <w:t xml:space="preserve">E-ticaret sitesi, gelen üyelik başvurularını </w:t>
      </w:r>
      <w:proofErr w:type="gramStart"/>
      <w:r w:rsidRPr="00BD05CD">
        <w:rPr>
          <w:rFonts w:ascii="Times New Roman" w:eastAsia="Times New Roman" w:hAnsi="Times New Roman"/>
          <w:b/>
          <w:lang w:eastAsia="tr-TR"/>
        </w:rPr>
        <w:t>konsolide</w:t>
      </w:r>
      <w:proofErr w:type="gramEnd"/>
      <w:r w:rsidRPr="00BD05CD">
        <w:rPr>
          <w:rFonts w:ascii="Times New Roman" w:eastAsia="Times New Roman" w:hAnsi="Times New Roman"/>
          <w:b/>
          <w:lang w:eastAsia="tr-TR"/>
        </w:rPr>
        <w:t xml:space="preserve"> hale getirerek bir şirket listesi hazırlar. Liste 250+ firmaya ulaştığında, gerekli kontrollerini yaparak detaylı şirket listesini TİM onayına gönderir.</w:t>
      </w:r>
    </w:p>
    <w:p w:rsidR="003C0148" w:rsidRPr="00BD05CD" w:rsidRDefault="003C0148" w:rsidP="003C0148">
      <w:pPr>
        <w:pStyle w:val="ListeParagraf"/>
        <w:rPr>
          <w:rFonts w:ascii="Times New Roman" w:eastAsia="Times New Roman" w:hAnsi="Times New Roman"/>
          <w:lang w:eastAsia="tr-TR"/>
        </w:rPr>
      </w:pPr>
    </w:p>
    <w:p w:rsidR="003C0148" w:rsidRPr="00BD05CD" w:rsidRDefault="003C0148" w:rsidP="003C0148">
      <w:pPr>
        <w:pStyle w:val="ListeParagraf"/>
        <w:shd w:val="clear" w:color="auto" w:fill="FFFFFF"/>
        <w:autoSpaceDE w:val="0"/>
        <w:autoSpaceDN w:val="0"/>
        <w:adjustRightInd w:val="0"/>
        <w:spacing w:after="100" w:afterAutospacing="1" w:line="240" w:lineRule="auto"/>
        <w:ind w:left="284"/>
        <w:rPr>
          <w:rFonts w:ascii="Times New Roman" w:eastAsia="Times New Roman" w:hAnsi="Times New Roman"/>
          <w:lang w:eastAsia="tr-TR"/>
        </w:rPr>
      </w:pPr>
      <w:r w:rsidRPr="00BD05CD">
        <w:rPr>
          <w:rFonts w:ascii="Times New Roman" w:eastAsia="Times New Roman" w:hAnsi="Times New Roman"/>
          <w:lang w:eastAsia="tr-TR"/>
        </w:rPr>
        <w:t xml:space="preserve">250 şirketlik listenin oluşturulması için geçen zaman e-ticaret sitesinin şirketlere ulaşmak için geliştirmiş olduğu stratejilere bağlı olarak </w:t>
      </w:r>
      <w:proofErr w:type="gramStart"/>
      <w:r w:rsidRPr="00BD05CD">
        <w:rPr>
          <w:rFonts w:ascii="Times New Roman" w:eastAsia="Times New Roman" w:hAnsi="Times New Roman"/>
          <w:lang w:eastAsia="tr-TR"/>
        </w:rPr>
        <w:t>15 - 45</w:t>
      </w:r>
      <w:proofErr w:type="gramEnd"/>
      <w:r w:rsidRPr="00BD05CD">
        <w:rPr>
          <w:rFonts w:ascii="Times New Roman" w:eastAsia="Times New Roman" w:hAnsi="Times New Roman"/>
          <w:lang w:eastAsia="tr-TR"/>
        </w:rPr>
        <w:t xml:space="preserve"> gün arasında sürmektedir. Bu süreçte şirketlerin yapması gereken başka bir işlem bulunmamaktadır.</w:t>
      </w:r>
    </w:p>
    <w:p w:rsidR="003C0148" w:rsidRPr="00BD05CD" w:rsidRDefault="003C0148" w:rsidP="003C0148">
      <w:pPr>
        <w:pStyle w:val="ListeParagraf"/>
        <w:rPr>
          <w:rFonts w:ascii="Times New Roman" w:eastAsia="Times New Roman" w:hAnsi="Times New Roman"/>
          <w:lang w:eastAsia="tr-TR"/>
        </w:rPr>
      </w:pPr>
    </w:p>
    <w:p w:rsidR="003C0148" w:rsidRPr="00BD05CD" w:rsidRDefault="003C0148" w:rsidP="003C0148">
      <w:pPr>
        <w:pStyle w:val="ListeParagraf"/>
        <w:numPr>
          <w:ilvl w:val="0"/>
          <w:numId w:val="1"/>
        </w:numPr>
        <w:shd w:val="clear" w:color="auto" w:fill="FFFFFF"/>
        <w:autoSpaceDE w:val="0"/>
        <w:autoSpaceDN w:val="0"/>
        <w:adjustRightInd w:val="0"/>
        <w:spacing w:after="100" w:afterAutospacing="1" w:line="240" w:lineRule="auto"/>
        <w:ind w:left="284" w:hanging="284"/>
        <w:rPr>
          <w:rFonts w:ascii="Times New Roman" w:eastAsia="Times New Roman" w:hAnsi="Times New Roman"/>
          <w:b/>
          <w:lang w:eastAsia="tr-TR"/>
        </w:rPr>
      </w:pPr>
      <w:r w:rsidRPr="00BD05CD">
        <w:rPr>
          <w:rFonts w:ascii="Times New Roman" w:eastAsia="Times New Roman" w:hAnsi="Times New Roman"/>
          <w:b/>
          <w:lang w:eastAsia="tr-TR"/>
        </w:rPr>
        <w:t>TİM'e ulaşan listede yer alan şirketlerin İhracatçı Birliklerine üyelik durumları kontrol edilir. Ödemesini yapmış olan İhracatçı Birliği üyesi firmalar TİM tarafından onaylanır.</w:t>
      </w:r>
    </w:p>
    <w:p w:rsidR="003C0148" w:rsidRPr="00BD05CD" w:rsidRDefault="003C0148" w:rsidP="003C0148">
      <w:pPr>
        <w:pStyle w:val="ListeParagraf"/>
        <w:rPr>
          <w:rFonts w:ascii="Times New Roman" w:eastAsia="Times New Roman" w:hAnsi="Times New Roman"/>
          <w:b/>
          <w:lang w:eastAsia="tr-TR"/>
        </w:rPr>
      </w:pPr>
    </w:p>
    <w:p w:rsidR="003C0148" w:rsidRPr="00BD05CD" w:rsidRDefault="003C0148" w:rsidP="003C0148">
      <w:pPr>
        <w:pStyle w:val="ListeParagraf"/>
        <w:numPr>
          <w:ilvl w:val="0"/>
          <w:numId w:val="1"/>
        </w:numPr>
        <w:shd w:val="clear" w:color="auto" w:fill="FFFFFF"/>
        <w:autoSpaceDE w:val="0"/>
        <w:autoSpaceDN w:val="0"/>
        <w:adjustRightInd w:val="0"/>
        <w:spacing w:after="100" w:afterAutospacing="1" w:line="240" w:lineRule="auto"/>
        <w:ind w:left="284" w:hanging="284"/>
        <w:rPr>
          <w:rFonts w:ascii="Times New Roman" w:eastAsia="Times New Roman" w:hAnsi="Times New Roman"/>
          <w:b/>
          <w:lang w:eastAsia="tr-TR"/>
        </w:rPr>
      </w:pPr>
      <w:r w:rsidRPr="00BD05CD">
        <w:rPr>
          <w:rFonts w:ascii="Times New Roman" w:eastAsia="Times New Roman" w:hAnsi="Times New Roman"/>
          <w:b/>
          <w:lang w:eastAsia="tr-TR"/>
        </w:rPr>
        <w:t>Kontrol sonrasında, nihai liste gerekli başvuru formlarıyla birlikte Bakanlık onayına gönderilir.</w:t>
      </w:r>
    </w:p>
    <w:p w:rsidR="003C0148" w:rsidRPr="00BD05CD" w:rsidRDefault="003C0148" w:rsidP="003C0148">
      <w:pPr>
        <w:pStyle w:val="ListeParagraf"/>
        <w:rPr>
          <w:rFonts w:ascii="Times New Roman" w:eastAsia="Times New Roman" w:hAnsi="Times New Roman"/>
          <w:lang w:eastAsia="tr-TR"/>
        </w:rPr>
      </w:pPr>
    </w:p>
    <w:p w:rsidR="00E25304" w:rsidRDefault="003C0148" w:rsidP="003C0148">
      <w:pPr>
        <w:pStyle w:val="ListeParagraf"/>
        <w:numPr>
          <w:ilvl w:val="0"/>
          <w:numId w:val="1"/>
        </w:numPr>
        <w:shd w:val="clear" w:color="auto" w:fill="FFFFFF"/>
        <w:autoSpaceDE w:val="0"/>
        <w:autoSpaceDN w:val="0"/>
        <w:adjustRightInd w:val="0"/>
        <w:spacing w:after="100" w:afterAutospacing="1" w:line="240" w:lineRule="auto"/>
        <w:ind w:left="284" w:hanging="284"/>
      </w:pPr>
      <w:r w:rsidRPr="003C0148">
        <w:rPr>
          <w:rFonts w:ascii="Times New Roman" w:eastAsia="Times New Roman" w:hAnsi="Times New Roman"/>
          <w:b/>
          <w:lang w:eastAsia="tr-TR"/>
        </w:rPr>
        <w:t>Bakanlık onayının ardından en geç 2 hafta içerisinde proje grubunun üyelikleri başlatılır.</w:t>
      </w:r>
      <w:bookmarkStart w:id="0" w:name="_GoBack"/>
      <w:bookmarkEnd w:id="0"/>
    </w:p>
    <w:sectPr w:rsidR="00E25304" w:rsidSect="003C0148">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D59"/>
    <w:multiLevelType w:val="hybridMultilevel"/>
    <w:tmpl w:val="9A566F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435C6D2B"/>
    <w:multiLevelType w:val="hybridMultilevel"/>
    <w:tmpl w:val="22266C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729B674E"/>
    <w:multiLevelType w:val="multilevel"/>
    <w:tmpl w:val="BE569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48"/>
    <w:rsid w:val="001346AD"/>
    <w:rsid w:val="001552A1"/>
    <w:rsid w:val="002F6862"/>
    <w:rsid w:val="00304071"/>
    <w:rsid w:val="003B19EF"/>
    <w:rsid w:val="003C0148"/>
    <w:rsid w:val="004659C8"/>
    <w:rsid w:val="004F57A1"/>
    <w:rsid w:val="006A591B"/>
    <w:rsid w:val="00724C22"/>
    <w:rsid w:val="007563E4"/>
    <w:rsid w:val="0075740F"/>
    <w:rsid w:val="007804B0"/>
    <w:rsid w:val="00883277"/>
    <w:rsid w:val="00936316"/>
    <w:rsid w:val="009A00A1"/>
    <w:rsid w:val="00A3028F"/>
    <w:rsid w:val="00B13257"/>
    <w:rsid w:val="00B6657A"/>
    <w:rsid w:val="00C04672"/>
    <w:rsid w:val="00D57056"/>
    <w:rsid w:val="00E25304"/>
    <w:rsid w:val="00F402BB"/>
    <w:rsid w:val="00F7003D"/>
    <w:rsid w:val="00FE1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1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014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1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014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2677</Characters>
  <Application>Microsoft Office Word</Application>
  <DocSecurity>0</DocSecurity>
  <Lines>55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TOSUN</dc:creator>
  <cp:lastModifiedBy>Nedret TOSUN</cp:lastModifiedBy>
  <cp:revision>1</cp:revision>
  <dcterms:created xsi:type="dcterms:W3CDTF">2017-10-04T14:00:00Z</dcterms:created>
  <dcterms:modified xsi:type="dcterms:W3CDTF">2017-10-04T14:01:00Z</dcterms:modified>
</cp:coreProperties>
</file>